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360"/>
        <w:jc w:val="center"/>
      </w:pPr>
      <w:r>
        <w:rPr>
          <w:rFonts w:ascii="Times New Roman" w:hAnsi="Times New Roman" w:eastAsia="宋体"/>
          <w:b/>
          <w:i w:val="0"/>
          <w:color w:val="000000"/>
          <w:sz w:val="36"/>
        </w:rPr>
        <w:t>Intelligent Vibration Monitor</w:t>
      </w:r>
    </w:p>
    <w:p>
      <w:pPr>
        <w:spacing w:after="240"/>
        <w:jc w:val="center"/>
      </w:pPr>
      <w:r>
        <w:rPr>
          <w:rFonts w:ascii="Times New Roman" w:hAnsi="Times New Roman" w:eastAsia="宋体"/>
          <w:b w:val="0"/>
          <w:i w:val="0"/>
          <w:color w:val="000000"/>
          <w:sz w:val="24"/>
        </w:rPr>
        <w:t>Operation Manual</w:t>
      </w:r>
    </w:p>
    <w:p>
      <w:pPr>
        <w:pStyle w:val="Heading1"/>
        <w:spacing w:before="280" w:after="120"/>
        <w:keepNext/>
      </w:pPr>
      <w:r>
        <w:rPr>
          <w:rFonts w:ascii="Times New Roman" w:hAnsi="Times New Roman" w:eastAsia="宋体"/>
          <w:b/>
          <w:i w:val="0"/>
          <w:color w:val="000000"/>
          <w:sz w:val="32"/>
        </w:rPr>
        <w:t>1. Overview</w:t>
      </w:r>
    </w:p>
    <w:p>
      <w:pPr>
        <w:spacing w:line="360" w:lineRule="auto"/>
        <w:ind w:firstLine="0"/>
        <w:jc w:val="both"/>
      </w:pPr>
      <w:r>
        <w:rPr>
          <w:rFonts w:ascii="Times New Roman" w:hAnsi="Times New Roman" w:eastAsia="宋体"/>
          <w:b w:val="0"/>
          <w:i w:val="0"/>
          <w:color w:val="000000"/>
          <w:sz w:val="24"/>
        </w:rPr>
        <w:t>The vibration monitor is mainly used for long-term monitoring of the vibration severity of rotating machinery with a rotational speed of 600~60000 rpm. When matched with magnetoelectric vibration velocity sensors, it can monitor the vertical and horizontal vibration of rotating machinery. The vibration severity value is displayed on the front-panel meter of the instrument. It also provides a standard current output for connection with various DCS and PLC systems. When the vibration value exceeds the limit, the instrument can be connected to an external audible-visual alarm to prompt on-site operators to take preventive measures. Alarm and danger switch outputs are available to ensure safe and reliable operation of the machinery.</w:t>
      </w:r>
    </w:p>
    <w:p>
      <w:pPr>
        <w:pStyle w:val="Heading1"/>
        <w:spacing w:before="280" w:after="120"/>
        <w:keepNext/>
      </w:pPr>
      <w:r>
        <w:rPr>
          <w:rFonts w:ascii="Times New Roman" w:hAnsi="Times New Roman" w:eastAsia="宋体"/>
          <w:b/>
          <w:i w:val="0"/>
          <w:color w:val="000000"/>
          <w:sz w:val="32"/>
        </w:rPr>
        <w:t>2. Function Description</w:t>
      </w:r>
    </w:p>
    <w:p>
      <w:pPr>
        <w:pStyle w:val="ListBullet"/>
        <w:spacing w:line="360" w:lineRule="auto"/>
        <w:ind w:firstLine="0"/>
      </w:pPr>
      <w:r>
        <w:rPr>
          <w:rFonts w:ascii="Times New Roman" w:hAnsi="Times New Roman" w:eastAsia="宋体"/>
          <w:b w:val="0"/>
          <w:i w:val="0"/>
          <w:color w:val="000000"/>
          <w:sz w:val="24"/>
        </w:rPr>
        <w:t>Intelligent processing: Alarm value I and Alarm value II can be arbitrarily set via the front-panel keys.</w:t>
      </w:r>
    </w:p>
    <w:p>
      <w:pPr>
        <w:pStyle w:val="ListBullet"/>
        <w:spacing w:line="360" w:lineRule="auto"/>
        <w:ind w:firstLine="0"/>
      </w:pPr>
      <w:r>
        <w:rPr>
          <w:rFonts w:ascii="Times New Roman" w:hAnsi="Times New Roman" w:eastAsia="宋体"/>
          <w:b w:val="0"/>
          <w:i w:val="0"/>
          <w:color w:val="000000"/>
          <w:sz w:val="24"/>
        </w:rPr>
        <w:t>The measuring range can be adjusted via the front-panel keys; no potentiometer adjustment is required for convenient on-site commissioning.</w:t>
      </w:r>
    </w:p>
    <w:p>
      <w:pPr>
        <w:pStyle w:val="ListBullet"/>
        <w:spacing w:line="360" w:lineRule="auto"/>
        <w:ind w:firstLine="0"/>
      </w:pPr>
      <w:r>
        <w:rPr>
          <w:rFonts w:ascii="Times New Roman" w:hAnsi="Times New Roman" w:eastAsia="宋体"/>
          <w:b w:val="0"/>
          <w:i w:val="0"/>
          <w:color w:val="000000"/>
          <w:sz w:val="24"/>
        </w:rPr>
        <w:t>The instrument automatically returns to the running status if no operation key is pressed for one minute.</w:t>
      </w:r>
    </w:p>
    <w:p>
      <w:pPr>
        <w:pStyle w:val="ListBullet"/>
        <w:spacing w:line="360" w:lineRule="auto"/>
        <w:ind w:firstLine="0"/>
      </w:pPr>
      <w:r>
        <w:rPr>
          <w:rFonts w:ascii="Times New Roman" w:hAnsi="Times New Roman" w:eastAsia="宋体"/>
          <w:b w:val="0"/>
          <w:i w:val="0"/>
          <w:color w:val="000000"/>
          <w:sz w:val="24"/>
        </w:rPr>
        <w:t>The alarm delay is adjustable from 1 s to 60 s to prevent false alarms caused by on-site interferences.</w:t>
      </w:r>
    </w:p>
    <w:p>
      <w:pPr>
        <w:pStyle w:val="ListBullet"/>
        <w:spacing w:line="360" w:lineRule="auto"/>
        <w:ind w:firstLine="0"/>
      </w:pPr>
      <w:r>
        <w:rPr>
          <w:rFonts w:ascii="Times New Roman" w:hAnsi="Times New Roman" w:eastAsia="宋体"/>
          <w:b w:val="0"/>
          <w:i w:val="0"/>
          <w:color w:val="000000"/>
          <w:sz w:val="24"/>
        </w:rPr>
        <w:t>Free switching between vibration severity (vibration intensity) and vibration amplitude (vibration displacement). (In the running status, long-press the "Cursor" key to switch the display between vibration severity and vibration amplitude.)</w:t>
      </w:r>
    </w:p>
    <w:p>
      <w:pPr>
        <w:pStyle w:val="Heading1"/>
        <w:spacing w:before="280" w:after="120"/>
        <w:keepNext/>
      </w:pPr>
      <w:r>
        <w:rPr>
          <w:rFonts w:ascii="Times New Roman" w:hAnsi="Times New Roman" w:eastAsia="宋体"/>
          <w:b/>
          <w:i w:val="0"/>
          <w:color w:val="000000"/>
          <w:sz w:val="32"/>
        </w:rPr>
        <w:t>3. Technical Specifications</w:t>
      </w:r>
    </w:p>
    <w:tbl>
      <w:tblPr>
        <w:tblStyle w:val="TableGrid"/>
        <w:tblW w:type="auto" w:w="0"/>
        <w:tblLook w:firstColumn="1" w:firstRow="1" w:lastColumn="0" w:lastRow="0" w:noHBand="0" w:noVBand="1" w:val="04A0"/>
      </w:tblPr>
      <w:tblGrid>
        <w:gridCol w:w="4536"/>
        <w:gridCol w:w="4536"/>
      </w:tblGrid>
      <w:tr>
        <w:trPr>
          <w:tblHeader w:val="true"/>
          <w:cantSplit/>
        </w:trPr>
        <w:tc>
          <w:tcPr>
            <w:tcW w:type="dxa" w:w="3118"/>
            <w:shd w:val="clear" w:color="auto" w:fill="#D9D9D9"/>
            <w:vAlign w:val="center"/>
          </w:tcPr>
          <w:p>
            <w:pPr>
              <w:spacing w:line="240" w:lineRule="auto" w:before="0" w:after="0"/>
              <w:ind w:firstLine="0"/>
              <w:jc w:val="center"/>
            </w:pPr>
            <w:r>
              <w:rPr>
                <w:rFonts w:ascii="Times New Roman" w:hAnsi="Times New Roman" w:eastAsia="宋体"/>
                <w:b/>
                <w:i w:val="0"/>
                <w:color w:val="000000"/>
                <w:sz w:val="21"/>
              </w:rPr>
              <w:t>Item</w:t>
            </w:r>
          </w:p>
        </w:tc>
        <w:tc>
          <w:tcPr>
            <w:tcW w:type="dxa" w:w="5953"/>
            <w:shd w:val="clear" w:color="auto" w:fill="#D9D9D9"/>
            <w:vAlign w:val="center"/>
          </w:tcPr>
          <w:p>
            <w:pPr>
              <w:spacing w:line="240" w:lineRule="auto" w:before="0" w:after="0"/>
              <w:ind w:firstLine="0"/>
              <w:jc w:val="center"/>
            </w:pPr>
            <w:r>
              <w:rPr>
                <w:rFonts w:ascii="Times New Roman" w:hAnsi="Times New Roman" w:eastAsia="宋体"/>
                <w:b/>
                <w:i w:val="0"/>
                <w:color w:val="000000"/>
                <w:sz w:val="21"/>
              </w:rPr>
              <w:t>Specification</w:t>
            </w:r>
          </w:p>
        </w:tc>
      </w:tr>
      <w:tr>
        <w:trPr>
          <w:cantSplit/>
        </w:trPr>
        <w:tc>
          <w:tcPr>
            <w:tcW w:type="dxa" w:w="3118"/>
            <w:vAlign w:val="center"/>
          </w:tcPr>
          <w:p>
            <w:pPr>
              <w:spacing w:line="240" w:lineRule="auto" w:before="0" w:after="0"/>
              <w:ind w:firstLine="0"/>
              <w:jc w:val="center"/>
            </w:pPr>
            <w:r>
              <w:rPr>
                <w:rFonts w:ascii="Times New Roman" w:hAnsi="Times New Roman" w:eastAsia="宋体"/>
                <w:b w:val="0"/>
                <w:i w:val="0"/>
                <w:color w:val="000000"/>
                <w:sz w:val="21"/>
              </w:rPr>
              <w:t>Frequency Range</w:t>
            </w:r>
          </w:p>
        </w:tc>
        <w:tc>
          <w:tcPr>
            <w:tcW w:type="dxa" w:w="5953"/>
            <w:vAlign w:val="center"/>
          </w:tcPr>
          <w:p>
            <w:pPr>
              <w:spacing w:line="240" w:lineRule="auto" w:before="0" w:after="0"/>
              <w:ind w:firstLine="0"/>
              <w:jc w:val="left"/>
            </w:pPr>
            <w:r>
              <w:rPr>
                <w:rFonts w:ascii="Times New Roman" w:hAnsi="Times New Roman" w:eastAsia="宋体"/>
                <w:b w:val="0"/>
                <w:i w:val="0"/>
                <w:color w:val="000000"/>
                <w:sz w:val="21"/>
              </w:rPr>
              <w:t>10~1000 Hz</w:t>
            </w:r>
          </w:p>
        </w:tc>
      </w:tr>
      <w:tr>
        <w:trPr>
          <w:cantSplit/>
        </w:trPr>
        <w:tc>
          <w:tcPr>
            <w:tcW w:type="dxa" w:w="3118"/>
            <w:vAlign w:val="center"/>
          </w:tcPr>
          <w:p>
            <w:pPr>
              <w:spacing w:line="240" w:lineRule="auto" w:before="0" w:after="0"/>
              <w:ind w:firstLine="0"/>
              <w:jc w:val="center"/>
            </w:pPr>
            <w:r>
              <w:rPr>
                <w:rFonts w:ascii="Times New Roman" w:hAnsi="Times New Roman" w:eastAsia="宋体"/>
                <w:b w:val="0"/>
                <w:i w:val="0"/>
                <w:color w:val="000000"/>
                <w:sz w:val="21"/>
              </w:rPr>
              <w:t>Measuring Range</w:t>
            </w:r>
          </w:p>
        </w:tc>
        <w:tc>
          <w:tcPr>
            <w:tcW w:type="dxa" w:w="5953"/>
            <w:vAlign w:val="center"/>
          </w:tcPr>
          <w:p>
            <w:pPr>
              <w:spacing w:line="240" w:lineRule="auto" w:before="0" w:after="0"/>
              <w:ind w:firstLine="0"/>
              <w:jc w:val="left"/>
            </w:pPr>
            <w:r>
              <w:rPr>
                <w:rFonts w:ascii="Times New Roman" w:hAnsi="Times New Roman" w:eastAsia="宋体"/>
                <w:b w:val="0"/>
                <w:i w:val="0"/>
                <w:color w:val="000000"/>
                <w:sz w:val="21"/>
              </w:rPr>
              <w:t>0~20.0 mm/s, 0~200 μm; 0~50.0 mm/s, 0~500 μm</w:t>
            </w:r>
          </w:p>
        </w:tc>
      </w:tr>
      <w:tr>
        <w:trPr>
          <w:cantSplit/>
        </w:trPr>
        <w:tc>
          <w:tcPr>
            <w:tcW w:type="dxa" w:w="3118"/>
            <w:vAlign w:val="center"/>
          </w:tcPr>
          <w:p>
            <w:pPr>
              <w:spacing w:line="240" w:lineRule="auto" w:before="0" w:after="0"/>
              <w:ind w:firstLine="0"/>
              <w:jc w:val="center"/>
            </w:pPr>
            <w:r>
              <w:rPr>
                <w:rFonts w:ascii="Times New Roman" w:hAnsi="Times New Roman" w:eastAsia="宋体"/>
                <w:b w:val="0"/>
                <w:i w:val="0"/>
                <w:color w:val="000000"/>
                <w:sz w:val="21"/>
              </w:rPr>
              <w:t>Accuracy</w:t>
            </w:r>
          </w:p>
        </w:tc>
        <w:tc>
          <w:tcPr>
            <w:tcW w:type="dxa" w:w="5953"/>
            <w:vAlign w:val="center"/>
          </w:tcPr>
          <w:p>
            <w:pPr>
              <w:spacing w:line="240" w:lineRule="auto" w:before="0" w:after="0"/>
              <w:ind w:firstLine="0"/>
              <w:jc w:val="left"/>
            </w:pPr>
            <w:r>
              <w:rPr>
                <w:rFonts w:ascii="Times New Roman" w:hAnsi="Times New Roman" w:eastAsia="宋体"/>
                <w:b w:val="0"/>
                <w:i w:val="0"/>
                <w:color w:val="000000"/>
                <w:sz w:val="21"/>
              </w:rPr>
              <w:t>±1% of full scale</w:t>
            </w:r>
          </w:p>
        </w:tc>
      </w:tr>
      <w:tr>
        <w:trPr>
          <w:cantSplit/>
        </w:trPr>
        <w:tc>
          <w:tcPr>
            <w:tcW w:type="dxa" w:w="3118"/>
            <w:vAlign w:val="center"/>
          </w:tcPr>
          <w:p>
            <w:pPr>
              <w:spacing w:line="240" w:lineRule="auto" w:before="0" w:after="0"/>
              <w:ind w:firstLine="0"/>
              <w:jc w:val="center"/>
            </w:pPr>
            <w:r>
              <w:rPr>
                <w:rFonts w:ascii="Times New Roman" w:hAnsi="Times New Roman" w:eastAsia="宋体"/>
                <w:b w:val="0"/>
                <w:i w:val="0"/>
                <w:color w:val="000000"/>
                <w:sz w:val="21"/>
              </w:rPr>
              <w:t>Current Output</w:t>
            </w:r>
          </w:p>
        </w:tc>
        <w:tc>
          <w:tcPr>
            <w:tcW w:type="dxa" w:w="5953"/>
            <w:vAlign w:val="center"/>
          </w:tcPr>
          <w:p>
            <w:pPr>
              <w:spacing w:line="240" w:lineRule="auto" w:before="0" w:after="0"/>
              <w:ind w:firstLine="0"/>
              <w:jc w:val="left"/>
            </w:pPr>
            <w:r>
              <w:rPr>
                <w:rFonts w:ascii="Times New Roman" w:hAnsi="Times New Roman" w:eastAsia="宋体"/>
                <w:b w:val="0"/>
                <w:i w:val="0"/>
                <w:color w:val="000000"/>
                <w:sz w:val="21"/>
              </w:rPr>
              <w:t>4-20 mA</w:t>
            </w:r>
          </w:p>
        </w:tc>
      </w:tr>
      <w:tr>
        <w:trPr>
          <w:cantSplit/>
        </w:trPr>
        <w:tc>
          <w:tcPr>
            <w:tcW w:type="dxa" w:w="3118"/>
            <w:vAlign w:val="center"/>
          </w:tcPr>
          <w:p>
            <w:pPr>
              <w:spacing w:line="240" w:lineRule="auto" w:before="0" w:after="0"/>
              <w:ind w:firstLine="0"/>
              <w:jc w:val="center"/>
            </w:pPr>
            <w:r>
              <w:rPr>
                <w:rFonts w:ascii="Times New Roman" w:hAnsi="Times New Roman" w:eastAsia="宋体"/>
                <w:b w:val="0"/>
                <w:i w:val="0"/>
                <w:color w:val="000000"/>
                <w:sz w:val="21"/>
              </w:rPr>
              <w:t>Switch Output</w:t>
            </w:r>
          </w:p>
        </w:tc>
        <w:tc>
          <w:tcPr>
            <w:tcW w:type="dxa" w:w="5953"/>
            <w:vAlign w:val="center"/>
          </w:tcPr>
          <w:p>
            <w:pPr>
              <w:spacing w:line="240" w:lineRule="auto" w:before="0" w:after="0"/>
              <w:ind w:firstLine="0"/>
              <w:jc w:val="left"/>
            </w:pPr>
            <w:r>
              <w:rPr>
                <w:rFonts w:ascii="Times New Roman" w:hAnsi="Times New Roman" w:eastAsia="宋体"/>
                <w:b w:val="0"/>
                <w:i w:val="0"/>
                <w:color w:val="000000"/>
                <w:sz w:val="21"/>
              </w:rPr>
              <w:t>Normally open: DC 30 V / 5 A or AC 250 V / 5 A</w:t>
            </w:r>
          </w:p>
        </w:tc>
      </w:tr>
      <w:tr>
        <w:trPr>
          <w:cantSplit/>
        </w:trPr>
        <w:tc>
          <w:tcPr>
            <w:tcW w:type="dxa" w:w="3118"/>
            <w:vAlign w:val="center"/>
          </w:tcPr>
          <w:p>
            <w:pPr>
              <w:spacing w:line="240" w:lineRule="auto" w:before="0" w:after="0"/>
              <w:ind w:firstLine="0"/>
              <w:jc w:val="center"/>
            </w:pPr>
            <w:r>
              <w:rPr>
                <w:rFonts w:ascii="Times New Roman" w:hAnsi="Times New Roman" w:eastAsia="宋体"/>
                <w:b w:val="0"/>
                <w:i w:val="0"/>
                <w:color w:val="000000"/>
                <w:sz w:val="21"/>
              </w:rPr>
              <w:t>Alarm Setting</w:t>
            </w:r>
          </w:p>
        </w:tc>
        <w:tc>
          <w:tcPr>
            <w:tcW w:type="dxa" w:w="5953"/>
            <w:vAlign w:val="center"/>
          </w:tcPr>
          <w:p>
            <w:pPr>
              <w:spacing w:line="240" w:lineRule="auto" w:before="0" w:after="0"/>
              <w:ind w:firstLine="0"/>
              <w:jc w:val="left"/>
            </w:pPr>
            <w:r>
              <w:rPr>
                <w:rFonts w:ascii="Times New Roman" w:hAnsi="Times New Roman" w:eastAsia="宋体"/>
                <w:b w:val="0"/>
                <w:i w:val="0"/>
                <w:color w:val="000000"/>
                <w:sz w:val="21"/>
              </w:rPr>
              <w:t>Arbitrary setting within the full-scale range</w:t>
            </w:r>
          </w:p>
        </w:tc>
      </w:tr>
      <w:tr>
        <w:trPr>
          <w:cantSplit/>
        </w:trPr>
        <w:tc>
          <w:tcPr>
            <w:tcW w:type="dxa" w:w="3118"/>
            <w:vAlign w:val="center"/>
          </w:tcPr>
          <w:p>
            <w:pPr>
              <w:spacing w:line="240" w:lineRule="auto" w:before="0" w:after="0"/>
              <w:ind w:firstLine="0"/>
              <w:jc w:val="center"/>
            </w:pPr>
            <w:r>
              <w:rPr>
                <w:rFonts w:ascii="Times New Roman" w:hAnsi="Times New Roman" w:eastAsia="宋体"/>
                <w:b w:val="0"/>
                <w:i w:val="0"/>
                <w:color w:val="000000"/>
                <w:sz w:val="21"/>
              </w:rPr>
              <w:t>Ambient Temperature</w:t>
            </w:r>
          </w:p>
        </w:tc>
        <w:tc>
          <w:tcPr>
            <w:tcW w:type="dxa" w:w="5953"/>
            <w:vAlign w:val="center"/>
          </w:tcPr>
          <w:p>
            <w:pPr>
              <w:spacing w:line="240" w:lineRule="auto" w:before="0" w:after="0"/>
              <w:ind w:firstLine="0"/>
              <w:jc w:val="left"/>
            </w:pPr>
            <w:r>
              <w:rPr>
                <w:rFonts w:ascii="Times New Roman" w:hAnsi="Times New Roman" w:eastAsia="宋体"/>
                <w:b w:val="0"/>
                <w:i w:val="0"/>
                <w:color w:val="000000"/>
                <w:sz w:val="21"/>
              </w:rPr>
              <w:t>Operation: 0~65 ℃</w:t>
              <w:br/>
              <w:t>Storage: -30~80 ℃</w:t>
            </w:r>
          </w:p>
        </w:tc>
      </w:tr>
      <w:tr>
        <w:trPr>
          <w:cantSplit/>
        </w:trPr>
        <w:tc>
          <w:tcPr>
            <w:tcW w:type="dxa" w:w="3118"/>
            <w:vAlign w:val="center"/>
          </w:tcPr>
          <w:p>
            <w:pPr>
              <w:spacing w:line="240" w:lineRule="auto" w:before="0" w:after="0"/>
              <w:ind w:firstLine="0"/>
              <w:jc w:val="center"/>
            </w:pPr>
            <w:r>
              <w:rPr>
                <w:rFonts w:ascii="Times New Roman" w:hAnsi="Times New Roman" w:eastAsia="宋体"/>
                <w:b w:val="0"/>
                <w:i w:val="0"/>
                <w:color w:val="000000"/>
                <w:sz w:val="21"/>
              </w:rPr>
              <w:t>Relative Humidity</w:t>
            </w:r>
          </w:p>
        </w:tc>
        <w:tc>
          <w:tcPr>
            <w:tcW w:type="dxa" w:w="5953"/>
            <w:vAlign w:val="center"/>
          </w:tcPr>
          <w:p>
            <w:pPr>
              <w:spacing w:line="240" w:lineRule="auto" w:before="0" w:after="0"/>
              <w:ind w:firstLine="0"/>
              <w:jc w:val="left"/>
            </w:pPr>
            <w:r>
              <w:rPr>
                <w:rFonts w:ascii="Times New Roman" w:hAnsi="Times New Roman" w:eastAsia="宋体"/>
                <w:b w:val="0"/>
                <w:i w:val="0"/>
                <w:color w:val="000000"/>
                <w:sz w:val="21"/>
              </w:rPr>
              <w:t>Up to 95%, non-condensing</w:t>
            </w:r>
          </w:p>
        </w:tc>
      </w:tr>
      <w:tr>
        <w:trPr>
          <w:cantSplit/>
        </w:trPr>
        <w:tc>
          <w:tcPr>
            <w:tcW w:type="dxa" w:w="3118"/>
            <w:vAlign w:val="center"/>
          </w:tcPr>
          <w:p>
            <w:pPr>
              <w:spacing w:line="240" w:lineRule="auto" w:before="0" w:after="0"/>
              <w:ind w:firstLine="0"/>
              <w:jc w:val="center"/>
            </w:pPr>
            <w:r>
              <w:rPr>
                <w:rFonts w:ascii="Times New Roman" w:hAnsi="Times New Roman" w:eastAsia="宋体"/>
                <w:b w:val="0"/>
                <w:i w:val="0"/>
                <w:color w:val="000000"/>
                <w:sz w:val="21"/>
              </w:rPr>
              <w:t>Power Supply</w:t>
            </w:r>
          </w:p>
        </w:tc>
        <w:tc>
          <w:tcPr>
            <w:tcW w:type="dxa" w:w="5953"/>
            <w:vAlign w:val="center"/>
          </w:tcPr>
          <w:p>
            <w:pPr>
              <w:spacing w:line="240" w:lineRule="auto" w:before="0" w:after="0"/>
              <w:ind w:firstLine="0"/>
              <w:jc w:val="left"/>
            </w:pPr>
            <w:r>
              <w:rPr>
                <w:rFonts w:ascii="Times New Roman" w:hAnsi="Times New Roman" w:eastAsia="宋体"/>
                <w:b w:val="0"/>
                <w:i w:val="0"/>
                <w:color w:val="000000"/>
                <w:sz w:val="21"/>
              </w:rPr>
              <w:t>220 VAC / 50 Hz ±10%, 50 mA</w:t>
            </w:r>
          </w:p>
        </w:tc>
      </w:tr>
      <w:tr>
        <w:trPr>
          <w:cantSplit/>
        </w:trPr>
        <w:tc>
          <w:tcPr>
            <w:tcW w:type="dxa" w:w="3118"/>
            <w:vAlign w:val="center"/>
          </w:tcPr>
          <w:p>
            <w:pPr>
              <w:spacing w:line="240" w:lineRule="auto" w:before="0" w:after="0"/>
              <w:ind w:firstLine="0"/>
              <w:jc w:val="center"/>
            </w:pPr>
            <w:r>
              <w:rPr>
                <w:rFonts w:ascii="Times New Roman" w:hAnsi="Times New Roman" w:eastAsia="宋体"/>
                <w:b w:val="0"/>
                <w:i w:val="0"/>
                <w:color w:val="000000"/>
                <w:sz w:val="21"/>
              </w:rPr>
              <w:t>Overall Dimension</w:t>
            </w:r>
          </w:p>
        </w:tc>
        <w:tc>
          <w:tcPr>
            <w:tcW w:type="dxa" w:w="5953"/>
            <w:vAlign w:val="center"/>
          </w:tcPr>
          <w:p>
            <w:pPr>
              <w:spacing w:line="240" w:lineRule="auto" w:before="0" w:after="0"/>
              <w:ind w:firstLine="0"/>
              <w:jc w:val="left"/>
            </w:pPr>
            <w:r>
              <w:rPr>
                <w:rFonts w:ascii="Times New Roman" w:hAnsi="Times New Roman" w:eastAsia="宋体"/>
                <w:b w:val="0"/>
                <w:i w:val="0"/>
                <w:color w:val="000000"/>
                <w:sz w:val="21"/>
              </w:rPr>
              <w:t>160 × 80 × 160 mm</w:t>
            </w:r>
          </w:p>
        </w:tc>
      </w:tr>
      <w:tr>
        <w:trPr>
          <w:cantSplit/>
        </w:trPr>
        <w:tc>
          <w:tcPr>
            <w:tcW w:type="dxa" w:w="3118"/>
            <w:vAlign w:val="center"/>
          </w:tcPr>
          <w:p>
            <w:pPr>
              <w:spacing w:line="240" w:lineRule="auto" w:before="0" w:after="0"/>
              <w:ind w:firstLine="0"/>
              <w:jc w:val="center"/>
            </w:pPr>
            <w:r>
              <w:rPr>
                <w:rFonts w:ascii="Times New Roman" w:hAnsi="Times New Roman" w:eastAsia="宋体"/>
                <w:b w:val="0"/>
                <w:i w:val="0"/>
                <w:color w:val="000000"/>
                <w:sz w:val="21"/>
              </w:rPr>
              <w:t>Panel Cut-out Size</w:t>
            </w:r>
          </w:p>
        </w:tc>
        <w:tc>
          <w:tcPr>
            <w:tcW w:type="dxa" w:w="5953"/>
            <w:vAlign w:val="center"/>
          </w:tcPr>
          <w:p>
            <w:pPr>
              <w:spacing w:line="240" w:lineRule="auto" w:before="0" w:after="0"/>
              <w:ind w:firstLine="0"/>
              <w:jc w:val="left"/>
            </w:pPr>
            <w:r>
              <w:rPr>
                <w:rFonts w:ascii="Times New Roman" w:hAnsi="Times New Roman" w:eastAsia="宋体"/>
                <w:b w:val="0"/>
                <w:i w:val="0"/>
                <w:color w:val="000000"/>
                <w:sz w:val="21"/>
              </w:rPr>
              <w:t>152⁺¹ × 75⁺¹ mm</w:t>
            </w:r>
          </w:p>
        </w:tc>
      </w:tr>
    </w:tbl>
    <w:p>
      <w:pPr>
        <w:pStyle w:val="Heading1"/>
        <w:spacing w:before="280" w:after="120"/>
        <w:keepNext/>
      </w:pPr>
      <w:r>
        <w:rPr>
          <w:rFonts w:ascii="Times New Roman" w:hAnsi="Times New Roman" w:eastAsia="宋体"/>
          <w:b/>
          <w:i w:val="0"/>
          <w:color w:val="000000"/>
          <w:sz w:val="32"/>
        </w:rPr>
        <w:t>4. Front-panel Functional Diagram</w:t>
      </w:r>
    </w:p>
    <w:p>
      <w:pPr>
        <w:spacing w:line="360" w:lineRule="auto"/>
        <w:ind w:firstLine="0"/>
        <w:jc w:val="both"/>
      </w:pPr>
      <w:r>
        <w:rPr>
          <w:rFonts w:ascii="Times New Roman" w:hAnsi="Times New Roman" w:eastAsia="宋体"/>
          <w:b w:val="0"/>
          <w:i w:val="0"/>
          <w:color w:val="000000"/>
          <w:sz w:val="24"/>
        </w:rPr>
        <w:t>Channel A Display Window: Shows the Channel-I vibration value in the running status; shows the parameter identifier in the parameter-setting status.</w:t>
      </w:r>
    </w:p>
    <w:p>
      <w:pPr>
        <w:spacing w:line="360" w:lineRule="auto"/>
        <w:ind w:firstLine="0"/>
        <w:jc w:val="both"/>
      </w:pPr>
      <w:r>
        <w:rPr>
          <w:rFonts w:ascii="Times New Roman" w:hAnsi="Times New Roman" w:eastAsia="宋体"/>
          <w:b w:val="0"/>
          <w:i w:val="0"/>
          <w:color w:val="000000"/>
          <w:sz w:val="24"/>
        </w:rPr>
        <w:t>Channel B Display Window: Shows the Channel-II vibration value in the running status; shows the parameter value corresponding to the identifier in the parameter-setting status.</w:t>
      </w:r>
    </w:p>
    <w:p>
      <w:pPr>
        <w:spacing w:line="360" w:lineRule="auto"/>
        <w:ind w:firstLine="0"/>
        <w:jc w:val="both"/>
      </w:pPr>
      <w:r>
        <w:rPr>
          <w:rFonts w:ascii="Times New Roman" w:hAnsi="Times New Roman" w:eastAsia="宋体"/>
          <w:b w:val="0"/>
          <w:i w:val="0"/>
          <w:color w:val="000000"/>
          <w:sz w:val="24"/>
        </w:rPr>
        <w:t>Alarm Indicator Lamp: Lights up when the measured value exceeds the set alarm threshold.</w:t>
      </w:r>
    </w:p>
    <w:p>
      <w:pPr>
        <w:spacing w:line="360" w:lineRule="auto"/>
        <w:ind w:firstLine="0"/>
        <w:jc w:val="both"/>
      </w:pPr>
      <w:r>
        <w:rPr>
          <w:rFonts w:ascii="Times New Roman" w:hAnsi="Times New Roman" w:eastAsia="宋体"/>
          <w:b w:val="0"/>
          <w:i w:val="0"/>
          <w:color w:val="000000"/>
          <w:sz w:val="24"/>
        </w:rPr>
        <w:t>"Function" Key: Long-press for 5 seconds to enter the parameter-setting mode. In the parameter-setting mode, press this key to enter the parameter-editing mode. Press this key after editing to confirm the modified parameters. After the parameter setup, long-press for 5 seconds again to return to the running status and save the modified parameters.</w:t>
      </w:r>
    </w:p>
    <w:p>
      <w:pPr>
        <w:spacing w:line="360" w:lineRule="auto"/>
        <w:ind w:firstLine="0"/>
        <w:jc w:val="both"/>
      </w:pPr>
      <w:r>
        <w:rPr>
          <w:rFonts w:ascii="Times New Roman" w:hAnsi="Times New Roman" w:eastAsia="宋体"/>
          <w:b w:val="0"/>
          <w:i w:val="0"/>
          <w:color w:val="000000"/>
          <w:sz w:val="24"/>
        </w:rPr>
        <w:t>"Plus" Key: In the parameter-viewing mode, press to view the next parameter. In the parameter-editing mode, increment the selected digit (range: 0-9).</w:t>
      </w:r>
    </w:p>
    <w:p>
      <w:pPr>
        <w:spacing w:line="360" w:lineRule="auto"/>
        <w:ind w:firstLine="0"/>
        <w:jc w:val="both"/>
      </w:pPr>
      <w:r>
        <w:rPr>
          <w:rFonts w:ascii="Times New Roman" w:hAnsi="Times New Roman" w:eastAsia="宋体"/>
          <w:b w:val="0"/>
          <w:i w:val="0"/>
          <w:color w:val="000000"/>
          <w:sz w:val="24"/>
        </w:rPr>
        <w:t>"Cursor" Left-shift Key: In the parameter-editing mode, shift the editable digit position (e.g. from the units digit to the hundreds digit).</w:t>
      </w:r>
    </w:p>
    <w:p>
      <w:pPr>
        <w:keepNext/>
        <w:spacing w:before="120"/>
        <w:jc w:val="center"/>
      </w:pPr>
      <w:r>
        <w:drawing>
          <wp:inline xmlns:a="http://schemas.openxmlformats.org/drawingml/2006/main" xmlns:pic="http://schemas.openxmlformats.org/drawingml/2006/picture">
            <wp:extent cx="4860000" cy="2885625"/>
            <wp:docPr id="1" name="Picture 1"/>
            <wp:cNvGraphicFramePr>
              <a:graphicFrameLocks noChangeAspect="1"/>
            </wp:cNvGraphicFramePr>
            <a:graphic>
              <a:graphicData uri="http://schemas.openxmlformats.org/drawingml/2006/picture">
                <pic:pic>
                  <pic:nvPicPr>
                    <pic:cNvPr id="0" name="panel_en_clean.png"/>
                    <pic:cNvPicPr/>
                  </pic:nvPicPr>
                  <pic:blipFill>
                    <a:blip r:embed="rId9"/>
                    <a:stretch>
                      <a:fillRect/>
                    </a:stretch>
                  </pic:blipFill>
                  <pic:spPr>
                    <a:xfrm>
                      <a:off x="0" y="0"/>
                      <a:ext cx="4860000" cy="2885625"/>
                    </a:xfrm>
                    <a:prstGeom prst="rect"/>
                  </pic:spPr>
                </pic:pic>
              </a:graphicData>
            </a:graphic>
          </wp:inline>
        </w:drawing>
      </w:r>
    </w:p>
    <w:p>
      <w:pPr>
        <w:spacing w:before="80" w:after="200" w:line="360" w:lineRule="auto"/>
        <w:jc w:val="center"/>
      </w:pPr>
      <w:r>
        <w:rPr>
          <w:rFonts w:ascii="Times New Roman" w:hAnsi="Times New Roman" w:eastAsia="宋体"/>
          <w:color w:val="000000"/>
          <w:sz w:val="21"/>
        </w:rPr>
        <w:t>Fig. 1 Front Panel Function Diagram</w:t>
      </w:r>
    </w:p>
    <w:p>
      <w:pPr>
        <w:pStyle w:val="Heading1"/>
        <w:spacing w:before="280" w:after="120"/>
        <w:keepNext/>
      </w:pPr>
      <w:r>
        <w:rPr>
          <w:rFonts w:ascii="Times New Roman" w:hAnsi="Times New Roman" w:eastAsia="宋体"/>
          <w:b/>
          <w:i w:val="0"/>
          <w:color w:val="000000"/>
          <w:sz w:val="32"/>
        </w:rPr>
        <w:t>5. Parameter Setting and Operation</w:t>
      </w:r>
    </w:p>
    <w:p>
      <w:pPr>
        <w:spacing w:line="360" w:lineRule="auto"/>
        <w:ind w:firstLine="0"/>
        <w:jc w:val="both"/>
      </w:pPr>
      <w:r>
        <w:rPr>
          <w:rFonts w:ascii="Times New Roman" w:hAnsi="Times New Roman" w:eastAsia="宋体"/>
          <w:b w:val="0"/>
          <w:i w:val="0"/>
          <w:color w:val="000000"/>
          <w:sz w:val="24"/>
        </w:rPr>
        <w:t>The instrument is fully calibrated before delivery and can be used directly. If you need to view or modify the factory parameters, follow the procedures below.</w:t>
      </w:r>
    </w:p>
    <w:p>
      <w:pPr>
        <w:spacing w:line="360" w:lineRule="auto"/>
        <w:ind w:firstLine="0"/>
        <w:jc w:val="both"/>
      </w:pPr>
      <w:r>
        <w:rPr>
          <w:rFonts w:ascii="Times New Roman" w:hAnsi="Times New Roman" w:eastAsia="宋体"/>
          <w:b w:val="0"/>
          <w:i w:val="0"/>
          <w:color w:val="000000"/>
          <w:sz w:val="24"/>
        </w:rPr>
        <w:t>After power-on, the instrument enters the running status and displays the displacement values of each channel on the panel.</w:t>
      </w:r>
    </w:p>
    <w:p>
      <w:pPr>
        <w:spacing w:line="360" w:lineRule="auto"/>
        <w:ind w:firstLine="0"/>
        <w:jc w:val="both"/>
      </w:pPr>
      <w:r>
        <w:rPr>
          <w:rFonts w:ascii="Times New Roman" w:hAnsi="Times New Roman" w:eastAsia="宋体"/>
          <w:b w:val="0"/>
          <w:i w:val="0"/>
          <w:color w:val="000000"/>
          <w:sz w:val="24"/>
        </w:rPr>
        <w:t>All parameters are configured via the "Function", "Cursor" and "Plus" keys on the panel. Each parameter is represented by an identifier. The setting sequence and steps are as follows:</w:t>
      </w:r>
    </w:p>
    <w:tbl>
      <w:tblPr>
        <w:tblStyle w:val="TableGrid"/>
        <w:tblW w:type="auto" w:w="0"/>
        <w:tblLook w:firstColumn="1" w:firstRow="1" w:lastColumn="0" w:lastRow="0" w:noHBand="0" w:noVBand="1" w:val="04A0"/>
      </w:tblPr>
      <w:tblGrid>
        <w:gridCol w:w="3024"/>
        <w:gridCol w:w="3024"/>
        <w:gridCol w:w="3024"/>
      </w:tblGrid>
      <w:tr>
        <w:trPr>
          <w:tblHeader w:val="true"/>
          <w:cantSplit/>
        </w:trPr>
        <w:tc>
          <w:tcPr>
            <w:tcW w:type="dxa" w:w="2551"/>
            <w:shd w:val="clear" w:color="auto" w:fill="#D9D9D9"/>
            <w:vAlign w:val="center"/>
          </w:tcPr>
          <w:p>
            <w:pPr>
              <w:spacing w:line="240" w:lineRule="auto" w:before="0" w:after="0"/>
              <w:ind w:firstLine="0"/>
              <w:jc w:val="center"/>
            </w:pPr>
            <w:r>
              <w:rPr>
                <w:rFonts w:ascii="Times New Roman" w:hAnsi="Times New Roman" w:eastAsia="宋体"/>
                <w:b/>
                <w:i w:val="0"/>
                <w:color w:val="000000"/>
                <w:sz w:val="21"/>
              </w:rPr>
              <w:t>Parameter Identifier</w:t>
            </w:r>
          </w:p>
        </w:tc>
        <w:tc>
          <w:tcPr>
            <w:tcW w:type="dxa" w:w="3685"/>
            <w:shd w:val="clear" w:color="auto" w:fill="#D9D9D9"/>
            <w:vAlign w:val="center"/>
          </w:tcPr>
          <w:p>
            <w:pPr>
              <w:spacing w:line="240" w:lineRule="auto" w:before="0" w:after="0"/>
              <w:ind w:firstLine="0"/>
              <w:jc w:val="center"/>
            </w:pPr>
            <w:r>
              <w:rPr>
                <w:rFonts w:ascii="Times New Roman" w:hAnsi="Times New Roman" w:eastAsia="宋体"/>
                <w:b/>
                <w:i w:val="0"/>
                <w:color w:val="000000"/>
                <w:sz w:val="21"/>
              </w:rPr>
              <w:t>Parameter Description</w:t>
            </w:r>
          </w:p>
        </w:tc>
        <w:tc>
          <w:tcPr>
            <w:tcW w:type="dxa" w:w="2551"/>
            <w:shd w:val="clear" w:color="auto" w:fill="#D9D9D9"/>
            <w:vAlign w:val="center"/>
          </w:tcPr>
          <w:p>
            <w:pPr>
              <w:spacing w:line="240" w:lineRule="auto" w:before="0" w:after="0"/>
              <w:ind w:firstLine="0"/>
              <w:jc w:val="center"/>
            </w:pPr>
            <w:r>
              <w:rPr>
                <w:rFonts w:ascii="Times New Roman" w:hAnsi="Times New Roman" w:eastAsia="宋体"/>
                <w:b/>
                <w:i w:val="0"/>
                <w:color w:val="000000"/>
                <w:sz w:val="21"/>
              </w:rPr>
              <w:t>Setting Range</w:t>
            </w:r>
          </w:p>
        </w:tc>
      </w:tr>
      <w:tr>
        <w:trPr>
          <w:cantSplit/>
        </w:trPr>
        <w:tc>
          <w:tcPr>
            <w:tcW w:type="dxa" w:w="2551"/>
            <w:vAlign w:val="center"/>
          </w:tcPr>
          <w:p>
            <w:pPr>
              <w:spacing w:line="240" w:lineRule="auto" w:before="0" w:after="0"/>
              <w:ind w:firstLine="0"/>
              <w:jc w:val="center"/>
            </w:pPr>
            <w:r>
              <w:rPr>
                <w:rFonts w:ascii="Times New Roman" w:hAnsi="Times New Roman" w:eastAsia="宋体"/>
                <w:b w:val="0"/>
                <w:i w:val="0"/>
                <w:color w:val="000000"/>
                <w:sz w:val="21"/>
              </w:rPr>
              <w:t>E1-</w:t>
            </w:r>
          </w:p>
        </w:tc>
        <w:tc>
          <w:tcPr>
            <w:tcW w:type="dxa" w:w="3685"/>
            <w:vAlign w:val="center"/>
          </w:tcPr>
          <w:p>
            <w:pPr>
              <w:spacing w:line="240" w:lineRule="auto" w:before="0" w:after="0"/>
              <w:ind w:firstLine="0"/>
              <w:jc w:val="left"/>
            </w:pPr>
            <w:r>
              <w:rPr>
                <w:rFonts w:ascii="Times New Roman" w:hAnsi="Times New Roman" w:eastAsia="宋体"/>
                <w:b w:val="0"/>
                <w:i w:val="0"/>
                <w:color w:val="000000"/>
                <w:sz w:val="21"/>
              </w:rPr>
              <w:t>Channel I Alarm Value I</w:t>
            </w:r>
          </w:p>
        </w:tc>
        <w:tc>
          <w:tcPr>
            <w:tcW w:type="dxa" w:w="2551"/>
            <w:vAlign w:val="center"/>
          </w:tcPr>
          <w:p>
            <w:pPr>
              <w:spacing w:line="240" w:lineRule="auto" w:before="0" w:after="0"/>
              <w:ind w:firstLine="0"/>
              <w:jc w:val="left"/>
            </w:pPr>
            <w:r>
              <w:rPr>
                <w:rFonts w:ascii="Times New Roman" w:hAnsi="Times New Roman" w:eastAsia="宋体"/>
                <w:b w:val="0"/>
                <w:i w:val="0"/>
                <w:color w:val="000000"/>
                <w:sz w:val="21"/>
              </w:rPr>
              <w:t>0~999</w:t>
            </w:r>
          </w:p>
        </w:tc>
      </w:tr>
      <w:tr>
        <w:trPr>
          <w:cantSplit/>
        </w:trPr>
        <w:tc>
          <w:tcPr>
            <w:tcW w:type="dxa" w:w="2551"/>
            <w:vAlign w:val="center"/>
          </w:tcPr>
          <w:p>
            <w:pPr>
              <w:spacing w:line="240" w:lineRule="auto" w:before="0" w:after="0"/>
              <w:ind w:firstLine="0"/>
              <w:jc w:val="center"/>
            </w:pPr>
            <w:r>
              <w:rPr>
                <w:rFonts w:ascii="Times New Roman" w:hAnsi="Times New Roman" w:eastAsia="宋体"/>
                <w:b w:val="0"/>
                <w:i w:val="0"/>
                <w:color w:val="000000"/>
                <w:sz w:val="21"/>
              </w:rPr>
              <w:t>P1-</w:t>
            </w:r>
          </w:p>
        </w:tc>
        <w:tc>
          <w:tcPr>
            <w:tcW w:type="dxa" w:w="3685"/>
            <w:vAlign w:val="center"/>
          </w:tcPr>
          <w:p>
            <w:pPr>
              <w:spacing w:line="240" w:lineRule="auto" w:before="0" w:after="0"/>
              <w:ind w:firstLine="0"/>
              <w:jc w:val="left"/>
            </w:pPr>
            <w:r>
              <w:rPr>
                <w:rFonts w:ascii="Times New Roman" w:hAnsi="Times New Roman" w:eastAsia="宋体"/>
                <w:b w:val="0"/>
                <w:i w:val="0"/>
                <w:color w:val="000000"/>
                <w:sz w:val="21"/>
              </w:rPr>
              <w:t>Channel I Alarm Value II</w:t>
            </w:r>
          </w:p>
        </w:tc>
        <w:tc>
          <w:tcPr>
            <w:tcW w:type="dxa" w:w="2551"/>
            <w:vAlign w:val="center"/>
          </w:tcPr>
          <w:p>
            <w:pPr>
              <w:spacing w:line="240" w:lineRule="auto" w:before="0" w:after="0"/>
              <w:ind w:firstLine="0"/>
              <w:jc w:val="left"/>
            </w:pPr>
            <w:r>
              <w:rPr>
                <w:rFonts w:ascii="Times New Roman" w:hAnsi="Times New Roman" w:eastAsia="宋体"/>
                <w:b w:val="0"/>
                <w:i w:val="0"/>
                <w:color w:val="000000"/>
                <w:sz w:val="21"/>
              </w:rPr>
              <w:t>0~999</w:t>
            </w:r>
          </w:p>
        </w:tc>
      </w:tr>
      <w:tr>
        <w:trPr>
          <w:cantSplit/>
        </w:trPr>
        <w:tc>
          <w:tcPr>
            <w:tcW w:type="dxa" w:w="2551"/>
            <w:vAlign w:val="center"/>
          </w:tcPr>
          <w:p>
            <w:pPr>
              <w:spacing w:line="240" w:lineRule="auto" w:before="0" w:after="0"/>
              <w:ind w:firstLine="0"/>
              <w:jc w:val="center"/>
            </w:pPr>
            <w:r>
              <w:rPr>
                <w:rFonts w:ascii="Times New Roman" w:hAnsi="Times New Roman" w:eastAsia="宋体"/>
                <w:b w:val="0"/>
                <w:i w:val="0"/>
                <w:color w:val="000000"/>
                <w:sz w:val="21"/>
              </w:rPr>
              <w:t>L1-</w:t>
            </w:r>
          </w:p>
        </w:tc>
        <w:tc>
          <w:tcPr>
            <w:tcW w:type="dxa" w:w="3685"/>
            <w:vAlign w:val="center"/>
          </w:tcPr>
          <w:p>
            <w:pPr>
              <w:spacing w:line="240" w:lineRule="auto" w:before="0" w:after="0"/>
              <w:ind w:firstLine="0"/>
              <w:jc w:val="left"/>
            </w:pPr>
            <w:r>
              <w:rPr>
                <w:rFonts w:ascii="Times New Roman" w:hAnsi="Times New Roman" w:eastAsia="宋体"/>
                <w:b w:val="0"/>
                <w:i w:val="0"/>
                <w:color w:val="000000"/>
                <w:sz w:val="21"/>
              </w:rPr>
              <w:t>Channel I Measuring Range</w:t>
            </w:r>
          </w:p>
        </w:tc>
        <w:tc>
          <w:tcPr>
            <w:tcW w:type="dxa" w:w="2551"/>
            <w:vAlign w:val="center"/>
          </w:tcPr>
          <w:p>
            <w:pPr>
              <w:spacing w:line="240" w:lineRule="auto" w:before="0" w:after="0"/>
              <w:ind w:firstLine="0"/>
              <w:jc w:val="left"/>
            </w:pPr>
            <w:r>
              <w:rPr>
                <w:rFonts w:ascii="Times New Roman" w:hAnsi="Times New Roman" w:eastAsia="宋体"/>
                <w:b w:val="0"/>
                <w:i w:val="0"/>
                <w:color w:val="000000"/>
                <w:sz w:val="21"/>
              </w:rPr>
              <w:t>0~999</w:t>
            </w:r>
          </w:p>
        </w:tc>
      </w:tr>
      <w:tr>
        <w:trPr>
          <w:cantSplit/>
        </w:trPr>
        <w:tc>
          <w:tcPr>
            <w:tcW w:type="dxa" w:w="2551"/>
            <w:vAlign w:val="center"/>
          </w:tcPr>
          <w:p>
            <w:pPr>
              <w:spacing w:line="240" w:lineRule="auto" w:before="0" w:after="0"/>
              <w:ind w:firstLine="0"/>
              <w:jc w:val="center"/>
            </w:pPr>
            <w:r>
              <w:rPr>
                <w:rFonts w:ascii="Times New Roman" w:hAnsi="Times New Roman" w:eastAsia="宋体"/>
                <w:b w:val="0"/>
                <w:i w:val="0"/>
                <w:color w:val="000000"/>
                <w:sz w:val="21"/>
              </w:rPr>
              <w:t>E2-</w:t>
            </w:r>
          </w:p>
        </w:tc>
        <w:tc>
          <w:tcPr>
            <w:tcW w:type="dxa" w:w="3685"/>
            <w:vAlign w:val="center"/>
          </w:tcPr>
          <w:p>
            <w:pPr>
              <w:spacing w:line="240" w:lineRule="auto" w:before="0" w:after="0"/>
              <w:ind w:firstLine="0"/>
              <w:jc w:val="left"/>
            </w:pPr>
            <w:r>
              <w:rPr>
                <w:rFonts w:ascii="Times New Roman" w:hAnsi="Times New Roman" w:eastAsia="宋体"/>
                <w:b w:val="0"/>
                <w:i w:val="0"/>
                <w:color w:val="000000"/>
                <w:sz w:val="21"/>
              </w:rPr>
              <w:t>Channel II Alarm Value I</w:t>
            </w:r>
          </w:p>
        </w:tc>
        <w:tc>
          <w:tcPr>
            <w:tcW w:type="dxa" w:w="2551"/>
            <w:vAlign w:val="center"/>
          </w:tcPr>
          <w:p>
            <w:pPr>
              <w:spacing w:line="240" w:lineRule="auto" w:before="0" w:after="0"/>
              <w:ind w:firstLine="0"/>
              <w:jc w:val="left"/>
            </w:pPr>
            <w:r>
              <w:rPr>
                <w:rFonts w:ascii="Times New Roman" w:hAnsi="Times New Roman" w:eastAsia="宋体"/>
                <w:b w:val="0"/>
                <w:i w:val="0"/>
                <w:color w:val="000000"/>
                <w:sz w:val="21"/>
              </w:rPr>
              <w:t>0~999</w:t>
            </w:r>
          </w:p>
        </w:tc>
      </w:tr>
      <w:tr>
        <w:trPr>
          <w:cantSplit/>
        </w:trPr>
        <w:tc>
          <w:tcPr>
            <w:tcW w:type="dxa" w:w="2551"/>
            <w:vAlign w:val="center"/>
          </w:tcPr>
          <w:p>
            <w:pPr>
              <w:spacing w:line="240" w:lineRule="auto" w:before="0" w:after="0"/>
              <w:ind w:firstLine="0"/>
              <w:jc w:val="center"/>
            </w:pPr>
            <w:r>
              <w:rPr>
                <w:rFonts w:ascii="Times New Roman" w:hAnsi="Times New Roman" w:eastAsia="宋体"/>
                <w:b w:val="0"/>
                <w:i w:val="0"/>
                <w:color w:val="000000"/>
                <w:sz w:val="21"/>
              </w:rPr>
              <w:t>P2-</w:t>
            </w:r>
          </w:p>
        </w:tc>
        <w:tc>
          <w:tcPr>
            <w:tcW w:type="dxa" w:w="3685"/>
            <w:vAlign w:val="center"/>
          </w:tcPr>
          <w:p>
            <w:pPr>
              <w:spacing w:line="240" w:lineRule="auto" w:before="0" w:after="0"/>
              <w:ind w:firstLine="0"/>
              <w:jc w:val="left"/>
            </w:pPr>
            <w:r>
              <w:rPr>
                <w:rFonts w:ascii="Times New Roman" w:hAnsi="Times New Roman" w:eastAsia="宋体"/>
                <w:b w:val="0"/>
                <w:i w:val="0"/>
                <w:color w:val="000000"/>
                <w:sz w:val="21"/>
              </w:rPr>
              <w:t>Channel II Alarm Value II</w:t>
            </w:r>
          </w:p>
        </w:tc>
        <w:tc>
          <w:tcPr>
            <w:tcW w:type="dxa" w:w="2551"/>
            <w:vAlign w:val="center"/>
          </w:tcPr>
          <w:p>
            <w:pPr>
              <w:spacing w:line="240" w:lineRule="auto" w:before="0" w:after="0"/>
              <w:ind w:firstLine="0"/>
              <w:jc w:val="left"/>
            </w:pPr>
            <w:r>
              <w:rPr>
                <w:rFonts w:ascii="Times New Roman" w:hAnsi="Times New Roman" w:eastAsia="宋体"/>
                <w:b w:val="0"/>
                <w:i w:val="0"/>
                <w:color w:val="000000"/>
                <w:sz w:val="21"/>
              </w:rPr>
              <w:t>0~999</w:t>
            </w:r>
          </w:p>
        </w:tc>
      </w:tr>
      <w:tr>
        <w:trPr>
          <w:cantSplit/>
        </w:trPr>
        <w:tc>
          <w:tcPr>
            <w:tcW w:type="dxa" w:w="2551"/>
            <w:vAlign w:val="center"/>
          </w:tcPr>
          <w:p>
            <w:pPr>
              <w:spacing w:line="240" w:lineRule="auto" w:before="0" w:after="0"/>
              <w:ind w:firstLine="0"/>
              <w:jc w:val="center"/>
            </w:pPr>
            <w:r>
              <w:rPr>
                <w:rFonts w:ascii="Times New Roman" w:hAnsi="Times New Roman" w:eastAsia="宋体"/>
                <w:b w:val="0"/>
                <w:i w:val="0"/>
                <w:color w:val="000000"/>
                <w:sz w:val="21"/>
              </w:rPr>
              <w:t>L2-</w:t>
            </w:r>
          </w:p>
        </w:tc>
        <w:tc>
          <w:tcPr>
            <w:tcW w:type="dxa" w:w="3685"/>
            <w:vAlign w:val="center"/>
          </w:tcPr>
          <w:p>
            <w:pPr>
              <w:spacing w:line="240" w:lineRule="auto" w:before="0" w:after="0"/>
              <w:ind w:firstLine="0"/>
              <w:jc w:val="left"/>
            </w:pPr>
            <w:r>
              <w:rPr>
                <w:rFonts w:ascii="Times New Roman" w:hAnsi="Times New Roman" w:eastAsia="宋体"/>
                <w:b w:val="0"/>
                <w:i w:val="0"/>
                <w:color w:val="000000"/>
                <w:sz w:val="21"/>
              </w:rPr>
              <w:t>Channel II Measuring Range</w:t>
            </w:r>
          </w:p>
        </w:tc>
        <w:tc>
          <w:tcPr>
            <w:tcW w:type="dxa" w:w="2551"/>
            <w:vAlign w:val="center"/>
          </w:tcPr>
          <w:p>
            <w:pPr>
              <w:spacing w:line="240" w:lineRule="auto" w:before="0" w:after="0"/>
              <w:ind w:firstLine="0"/>
              <w:jc w:val="left"/>
            </w:pPr>
            <w:r>
              <w:rPr>
                <w:rFonts w:ascii="Times New Roman" w:hAnsi="Times New Roman" w:eastAsia="宋体"/>
                <w:b w:val="0"/>
                <w:i w:val="0"/>
                <w:color w:val="000000"/>
                <w:sz w:val="21"/>
              </w:rPr>
              <w:t>0~999</w:t>
            </w:r>
          </w:p>
        </w:tc>
      </w:tr>
      <w:tr>
        <w:trPr>
          <w:cantSplit/>
        </w:trPr>
        <w:tc>
          <w:tcPr>
            <w:tcW w:type="dxa" w:w="2551"/>
            <w:vAlign w:val="center"/>
          </w:tcPr>
          <w:p>
            <w:pPr>
              <w:spacing w:line="240" w:lineRule="auto" w:before="0" w:after="0"/>
              <w:ind w:firstLine="0"/>
              <w:jc w:val="center"/>
            </w:pPr>
            <w:r>
              <w:rPr>
                <w:rFonts w:ascii="Times New Roman" w:hAnsi="Times New Roman" w:eastAsia="宋体"/>
                <w:b w:val="0"/>
                <w:i w:val="0"/>
                <w:color w:val="000000"/>
                <w:sz w:val="21"/>
              </w:rPr>
              <w:t>EE-</w:t>
            </w:r>
          </w:p>
        </w:tc>
        <w:tc>
          <w:tcPr>
            <w:tcW w:type="dxa" w:w="3685"/>
            <w:vAlign w:val="center"/>
          </w:tcPr>
          <w:p>
            <w:pPr>
              <w:spacing w:line="240" w:lineRule="auto" w:before="0" w:after="0"/>
              <w:ind w:firstLine="0"/>
              <w:jc w:val="left"/>
            </w:pPr>
            <w:r>
              <w:rPr>
                <w:rFonts w:ascii="Times New Roman" w:hAnsi="Times New Roman" w:eastAsia="宋体"/>
                <w:b w:val="0"/>
                <w:i w:val="0"/>
                <w:color w:val="000000"/>
                <w:sz w:val="21"/>
              </w:rPr>
              <w:t>Alarm Delay</w:t>
            </w:r>
          </w:p>
        </w:tc>
        <w:tc>
          <w:tcPr>
            <w:tcW w:type="dxa" w:w="2551"/>
            <w:vAlign w:val="center"/>
          </w:tcPr>
          <w:p>
            <w:pPr>
              <w:spacing w:line="240" w:lineRule="auto" w:before="0" w:after="0"/>
              <w:ind w:firstLine="0"/>
              <w:jc w:val="left"/>
            </w:pPr>
            <w:r>
              <w:rPr>
                <w:rFonts w:ascii="Times New Roman" w:hAnsi="Times New Roman" w:eastAsia="宋体"/>
                <w:b w:val="0"/>
                <w:i w:val="0"/>
                <w:color w:val="000000"/>
                <w:sz w:val="21"/>
              </w:rPr>
              <w:t>0~60 s</w:t>
            </w:r>
          </w:p>
        </w:tc>
      </w:tr>
      <w:tr>
        <w:trPr>
          <w:cantSplit/>
        </w:trPr>
        <w:tc>
          <w:tcPr>
            <w:tcW w:type="dxa" w:w="2551"/>
            <w:vAlign w:val="center"/>
          </w:tcPr>
          <w:p>
            <w:pPr>
              <w:spacing w:line="240" w:lineRule="auto" w:before="0" w:after="0"/>
              <w:ind w:firstLine="0"/>
              <w:jc w:val="center"/>
            </w:pPr>
            <w:r>
              <w:rPr>
                <w:rFonts w:ascii="Times New Roman" w:hAnsi="Times New Roman" w:eastAsia="宋体"/>
                <w:b w:val="0"/>
                <w:i w:val="0"/>
                <w:color w:val="000000"/>
                <w:sz w:val="21"/>
              </w:rPr>
              <w:t>Adr</w:t>
            </w:r>
          </w:p>
        </w:tc>
        <w:tc>
          <w:tcPr>
            <w:tcW w:type="dxa" w:w="3685"/>
            <w:vAlign w:val="center"/>
          </w:tcPr>
          <w:p>
            <w:pPr>
              <w:spacing w:line="240" w:lineRule="auto" w:before="0" w:after="0"/>
              <w:ind w:firstLine="0"/>
              <w:jc w:val="left"/>
            </w:pPr>
            <w:r>
              <w:rPr>
                <w:rFonts w:ascii="Times New Roman" w:hAnsi="Times New Roman" w:eastAsia="宋体"/>
                <w:b w:val="0"/>
                <w:i w:val="0"/>
                <w:color w:val="000000"/>
                <w:sz w:val="21"/>
              </w:rPr>
              <w:t>Communication Address</w:t>
            </w:r>
          </w:p>
        </w:tc>
        <w:tc>
          <w:tcPr>
            <w:tcW w:type="dxa" w:w="2551"/>
            <w:vAlign w:val="center"/>
          </w:tcPr>
          <w:p>
            <w:pPr>
              <w:spacing w:line="240" w:lineRule="auto" w:before="0" w:after="0"/>
              <w:ind w:firstLine="0"/>
              <w:jc w:val="right"/>
            </w:pPr>
            <w:r>
              <w:rPr>
                <w:rFonts w:ascii="Times New Roman" w:hAnsi="Times New Roman" w:eastAsia="宋体"/>
                <w:b w:val="0"/>
                <w:i w:val="0"/>
                <w:color w:val="000000"/>
                <w:sz w:val="21"/>
              </w:rPr>
              <w:t>1-247</w:t>
            </w:r>
          </w:p>
        </w:tc>
      </w:tr>
      <w:tr>
        <w:trPr>
          <w:cantSplit/>
        </w:trPr>
        <w:tc>
          <w:tcPr>
            <w:tcW w:type="dxa" w:w="2551"/>
            <w:vAlign w:val="center"/>
          </w:tcPr>
          <w:p>
            <w:pPr>
              <w:spacing w:line="240" w:lineRule="auto" w:before="0" w:after="0"/>
              <w:ind w:firstLine="0"/>
              <w:jc w:val="center"/>
            </w:pPr>
            <w:r>
              <w:rPr>
                <w:rFonts w:ascii="Times New Roman" w:hAnsi="Times New Roman" w:eastAsia="宋体"/>
                <w:b w:val="0"/>
                <w:i w:val="0"/>
                <w:color w:val="000000"/>
                <w:sz w:val="21"/>
              </w:rPr>
              <w:t>bAU</w:t>
            </w:r>
          </w:p>
        </w:tc>
        <w:tc>
          <w:tcPr>
            <w:tcW w:type="dxa" w:w="3685"/>
            <w:vAlign w:val="center"/>
          </w:tcPr>
          <w:p>
            <w:pPr>
              <w:spacing w:line="240" w:lineRule="auto" w:before="0" w:after="0"/>
              <w:ind w:firstLine="0"/>
              <w:jc w:val="left"/>
            </w:pPr>
            <w:r>
              <w:rPr>
                <w:rFonts w:ascii="Times New Roman" w:hAnsi="Times New Roman" w:eastAsia="宋体"/>
                <w:b w:val="0"/>
                <w:i w:val="0"/>
                <w:color w:val="000000"/>
                <w:sz w:val="21"/>
              </w:rPr>
              <w:t>Baud Rate</w:t>
            </w:r>
          </w:p>
        </w:tc>
        <w:tc>
          <w:tcPr>
            <w:tcW w:type="dxa" w:w="2551"/>
            <w:vAlign w:val="center"/>
          </w:tcPr>
          <w:p>
            <w:pPr>
              <w:spacing w:line="240" w:lineRule="auto" w:before="0" w:after="0"/>
              <w:ind w:firstLine="0"/>
              <w:jc w:val="left"/>
            </w:pPr>
            <w:r>
              <w:rPr>
                <w:rFonts w:ascii="Times New Roman" w:hAnsi="Times New Roman" w:eastAsia="宋体"/>
                <w:b w:val="0"/>
                <w:i w:val="0"/>
                <w:color w:val="000000"/>
                <w:sz w:val="21"/>
              </w:rPr>
              <w:t>48=4800 bps</w:t>
              <w:br/>
              <w:t>96=9600 bps</w:t>
              <w:br/>
              <w:t>192=19200 bps</w:t>
              <w:br/>
              <w:t>384=38400 bps</w:t>
            </w:r>
          </w:p>
        </w:tc>
      </w:tr>
      <w:tr>
        <w:trPr>
          <w:cantSplit/>
        </w:trPr>
        <w:tc>
          <w:tcPr>
            <w:tcW w:type="dxa" w:w="2551"/>
            <w:vAlign w:val="center"/>
          </w:tcPr>
          <w:p>
            <w:pPr>
              <w:spacing w:line="240" w:lineRule="auto" w:before="0" w:after="0"/>
              <w:ind w:firstLine="0"/>
              <w:jc w:val="center"/>
            </w:pPr>
            <w:r>
              <w:rPr>
                <w:rFonts w:ascii="Times New Roman" w:hAnsi="Times New Roman" w:eastAsia="宋体"/>
                <w:b w:val="0"/>
                <w:i w:val="0"/>
                <w:color w:val="000000"/>
                <w:sz w:val="21"/>
              </w:rPr>
              <w:t>SE1</w:t>
            </w:r>
          </w:p>
        </w:tc>
        <w:tc>
          <w:tcPr>
            <w:tcW w:type="dxa" w:w="3685"/>
            <w:vAlign w:val="center"/>
          </w:tcPr>
          <w:p>
            <w:pPr>
              <w:spacing w:line="240" w:lineRule="auto" w:before="0" w:after="0"/>
              <w:ind w:firstLine="0"/>
              <w:jc w:val="left"/>
            </w:pPr>
            <w:r>
              <w:rPr>
                <w:rFonts w:ascii="Times New Roman" w:hAnsi="Times New Roman" w:eastAsia="宋体"/>
                <w:b w:val="0"/>
                <w:i w:val="0"/>
                <w:color w:val="000000"/>
                <w:sz w:val="21"/>
              </w:rPr>
              <w:t>Channel 1 Sensitivity Setting</w:t>
            </w:r>
          </w:p>
        </w:tc>
        <w:tc>
          <w:tcPr>
            <w:tcW w:type="dxa" w:w="2551"/>
            <w:vAlign w:val="center"/>
          </w:tcPr>
          <w:p>
            <w:pPr>
              <w:spacing w:line="240" w:lineRule="auto" w:before="0" w:after="0"/>
              <w:ind w:firstLine="0"/>
              <w:jc w:val="left"/>
            </w:pPr>
            <w:r>
              <w:rPr>
                <w:rFonts w:ascii="Times New Roman" w:hAnsi="Times New Roman" w:eastAsia="宋体"/>
                <w:b w:val="0"/>
                <w:i w:val="0"/>
                <w:color w:val="000000"/>
                <w:sz w:val="21"/>
              </w:rPr>
              <w:t>-</w:t>
            </w:r>
          </w:p>
        </w:tc>
      </w:tr>
      <w:tr>
        <w:trPr>
          <w:cantSplit/>
        </w:trPr>
        <w:tc>
          <w:tcPr>
            <w:tcW w:type="dxa" w:w="2551"/>
            <w:vAlign w:val="center"/>
          </w:tcPr>
          <w:p>
            <w:pPr>
              <w:spacing w:line="240" w:lineRule="auto" w:before="0" w:after="0"/>
              <w:ind w:firstLine="0"/>
              <w:jc w:val="center"/>
            </w:pPr>
            <w:r>
              <w:rPr>
                <w:rFonts w:ascii="Times New Roman" w:hAnsi="Times New Roman" w:eastAsia="宋体"/>
                <w:b w:val="0"/>
                <w:i w:val="0"/>
                <w:color w:val="000000"/>
                <w:sz w:val="21"/>
              </w:rPr>
              <w:t>SE2</w:t>
            </w:r>
          </w:p>
        </w:tc>
        <w:tc>
          <w:tcPr>
            <w:tcW w:type="dxa" w:w="3685"/>
            <w:vAlign w:val="center"/>
          </w:tcPr>
          <w:p>
            <w:pPr>
              <w:spacing w:line="240" w:lineRule="auto" w:before="0" w:after="0"/>
              <w:ind w:firstLine="0"/>
              <w:jc w:val="left"/>
            </w:pPr>
            <w:r>
              <w:rPr>
                <w:rFonts w:ascii="Times New Roman" w:hAnsi="Times New Roman" w:eastAsia="宋体"/>
                <w:b w:val="0"/>
                <w:i w:val="0"/>
                <w:color w:val="000000"/>
                <w:sz w:val="21"/>
              </w:rPr>
              <w:t>Channel 2 Sensitivity Setting</w:t>
            </w:r>
          </w:p>
        </w:tc>
        <w:tc>
          <w:tcPr>
            <w:tcW w:type="dxa" w:w="2551"/>
            <w:vAlign w:val="center"/>
          </w:tcPr>
          <w:p>
            <w:pPr>
              <w:spacing w:line="240" w:lineRule="auto" w:before="0" w:after="0"/>
              <w:ind w:firstLine="0"/>
              <w:jc w:val="left"/>
            </w:pPr>
            <w:r>
              <w:rPr>
                <w:rFonts w:ascii="Times New Roman" w:hAnsi="Times New Roman" w:eastAsia="宋体"/>
                <w:b w:val="0"/>
                <w:i w:val="0"/>
                <w:color w:val="000000"/>
                <w:sz w:val="21"/>
              </w:rPr>
              <w:t>-</w:t>
            </w:r>
          </w:p>
        </w:tc>
      </w:tr>
    </w:tbl>
    <w:p>
      <w:pPr>
        <w:spacing w:line="360" w:lineRule="auto"/>
        <w:ind w:firstLine="0"/>
        <w:jc w:val="both"/>
      </w:pPr>
      <w:r>
        <w:rPr>
          <w:rFonts w:ascii="Times New Roman" w:hAnsi="Times New Roman" w:eastAsia="宋体"/>
          <w:b w:val="0"/>
          <w:i w:val="0"/>
          <w:color w:val="000000"/>
          <w:sz w:val="24"/>
        </w:rPr>
        <w:t>Note: In the parameter-setting mode, the Channel-I display window shows the parameter identifier, and the Channel-II display window shows the corresponding parameter value.</w:t>
      </w:r>
    </w:p>
    <w:p>
      <w:pPr>
        <w:spacing w:line="360" w:lineRule="auto"/>
        <w:ind w:firstLine="0"/>
        <w:jc w:val="both"/>
      </w:pPr>
      <w:r>
        <w:rPr>
          <w:rFonts w:ascii="Times New Roman" w:hAnsi="Times New Roman" w:eastAsia="宋体"/>
          <w:b w:val="0"/>
          <w:i w:val="0"/>
          <w:color w:val="000000"/>
          <w:sz w:val="24"/>
        </w:rPr>
        <w:t>Press and hold the "Function" key for about 5 seconds to enter the parameter-setting mode. "E1-" appears in the Channel-I display window, and the factory default Channel-I Alarm Value I "06.3" appears in the Channel-II display window. Press the confirm key to enter the parameter-editing mode; the lowest digit will flash. Use the "Plus" key to increment this digit (0-9). Press the "Cursor" key to make the next higher digit flash, then modify it with the "Plus" key. Repeat this operation: select the digit position with the "Cursor" key and modify the digit with the "Plus" key. Press the "Function" key to complete editing for this parameter. Press the "Plus" key to proceed to the next-parameter setup. Or long-press the "Function" key for about 5 seconds to return to the normal running status.</w:t>
      </w:r>
    </w:p>
    <w:p>
      <w:pPr>
        <w:pStyle w:val="Heading1"/>
        <w:spacing w:before="280" w:after="120"/>
        <w:keepNext/>
      </w:pPr>
      <w:r>
        <w:rPr>
          <w:rFonts w:ascii="Times New Roman" w:hAnsi="Times New Roman" w:eastAsia="宋体"/>
          <w:b/>
          <w:i w:val="0"/>
          <w:color w:val="000000"/>
          <w:sz w:val="32"/>
        </w:rPr>
        <w:t>6. Terminal Wiring Diagram and Sensor Installation</w:t>
      </w:r>
    </w:p>
    <w:p>
      <w:pPr>
        <w:keepNext/>
        <w:spacing w:before="120"/>
        <w:jc w:val="center"/>
      </w:pPr>
      <w:r>
        <w:drawing>
          <wp:inline xmlns:a="http://schemas.openxmlformats.org/drawingml/2006/main" xmlns:pic="http://schemas.openxmlformats.org/drawingml/2006/picture">
            <wp:extent cx="5040000" cy="2946462"/>
            <wp:docPr id="2" name="Picture 2"/>
            <wp:cNvGraphicFramePr>
              <a:graphicFrameLocks noChangeAspect="1"/>
            </wp:cNvGraphicFramePr>
            <a:graphic>
              <a:graphicData uri="http://schemas.openxmlformats.org/drawingml/2006/picture">
                <pic:pic>
                  <pic:nvPicPr>
                    <pic:cNvPr id="0" name="wiring_en_clean.png"/>
                    <pic:cNvPicPr/>
                  </pic:nvPicPr>
                  <pic:blipFill>
                    <a:blip r:embed="rId10"/>
                    <a:stretch>
                      <a:fillRect/>
                    </a:stretch>
                  </pic:blipFill>
                  <pic:spPr>
                    <a:xfrm>
                      <a:off x="0" y="0"/>
                      <a:ext cx="5040000" cy="2946462"/>
                    </a:xfrm>
                    <a:prstGeom prst="rect"/>
                  </pic:spPr>
                </pic:pic>
              </a:graphicData>
            </a:graphic>
          </wp:inline>
        </w:drawing>
      </w:r>
    </w:p>
    <w:p>
      <w:pPr>
        <w:spacing w:before="80" w:after="200" w:line="360" w:lineRule="auto"/>
        <w:jc w:val="center"/>
      </w:pPr>
      <w:r>
        <w:rPr>
          <w:rFonts w:ascii="Times New Roman" w:hAnsi="Times New Roman" w:eastAsia="宋体"/>
          <w:color w:val="000000"/>
          <w:sz w:val="21"/>
        </w:rPr>
        <w:t>Fig. 2 Terminal Wiring Diagram and Sensor Installation</w:t>
      </w:r>
    </w:p>
    <w:p>
      <w:pPr>
        <w:pStyle w:val="Heading1"/>
        <w:spacing w:before="280" w:after="120"/>
        <w:keepNext/>
      </w:pPr>
      <w:r>
        <w:rPr>
          <w:rFonts w:ascii="Times New Roman" w:hAnsi="Times New Roman" w:eastAsia="宋体"/>
          <w:b/>
          <w:i w:val="0"/>
          <w:color w:val="000000"/>
          <w:sz w:val="32"/>
        </w:rPr>
        <w:t>7. Commissioning Instructions</w:t>
      </w:r>
    </w:p>
    <w:p>
      <w:pPr>
        <w:spacing w:line="360" w:lineRule="auto"/>
        <w:ind w:firstLine="0"/>
        <w:jc w:val="both"/>
      </w:pPr>
      <w:r>
        <w:rPr>
          <w:rFonts w:ascii="Times New Roman" w:hAnsi="Times New Roman" w:eastAsia="宋体"/>
          <w:b w:val="0"/>
          <w:i w:val="0"/>
          <w:color w:val="000000"/>
          <w:sz w:val="24"/>
        </w:rPr>
        <w:t>The instrument has been calibrated before delivery and is ready for direct user operation.</w:t>
      </w:r>
    </w:p>
    <w:p>
      <w:pPr>
        <w:pStyle w:val="Heading1"/>
        <w:spacing w:before="280" w:after="120"/>
        <w:keepNext/>
      </w:pPr>
      <w:r>
        <w:rPr>
          <w:rFonts w:ascii="Times New Roman" w:hAnsi="Times New Roman" w:eastAsia="宋体"/>
          <w:b/>
          <w:i w:val="0"/>
          <w:color w:val="000000"/>
          <w:sz w:val="32"/>
        </w:rPr>
        <w:t>8. Installation</w:t>
      </w:r>
    </w:p>
    <w:p>
      <w:pPr>
        <w:spacing w:line="360" w:lineRule="auto"/>
        <w:ind w:firstLine="0"/>
        <w:jc w:val="both"/>
      </w:pPr>
      <w:r>
        <w:rPr>
          <w:rFonts w:ascii="Times New Roman" w:hAnsi="Times New Roman" w:eastAsia="宋体"/>
          <w:b w:val="0"/>
          <w:i w:val="0"/>
          <w:color w:val="000000"/>
          <w:sz w:val="24"/>
        </w:rPr>
        <w:t>Install the monitor in the central control room. Insert the monitor from the front side of the control cabinet, attach the left- and right-side mounting brackets (supplied by the manufacturer) from the rear, and tighten the screws. Connect all input and output wires to the terminal block on the rear of the monitor as required.</w:t>
      </w:r>
    </w:p>
    <w:sectPr w:rsidR="00FC693F" w:rsidRPr="0006063C" w:rsidSect="00034616">
      <w:pgSz w:w="11906" w:h="16838"/>
      <w:pgMar w:top="1417" w:right="1417" w:bottom="1417"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before="0" w:after="0"/>
      <w:ind w:firstLine="0"/>
      <w:jc w:val="both"/>
    </w:pPr>
    <w:rPr>
      <w:rFonts w:ascii="Times New Roman" w:hAnsi="Times New Roman" w:eastAsia="宋体"/>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